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020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  <w:lang w:eastAsia="zh-CN"/>
        </w:rPr>
        <w:t>屯昌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</w:rPr>
        <w:t>县特殊教育学校教师招聘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岗位表</w:t>
      </w:r>
    </w:p>
    <w:tbl>
      <w:tblPr>
        <w:tblStyle w:val="3"/>
        <w:tblW w:w="12202" w:type="dxa"/>
        <w:jc w:val="center"/>
        <w:tblInd w:w="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938"/>
        <w:gridCol w:w="575"/>
        <w:gridCol w:w="3056"/>
        <w:gridCol w:w="2895"/>
        <w:gridCol w:w="2474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特殊教育专业教师岗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全日制普通高等学校专科及以上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所学专业与报考学科岗位一致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具有中小学教师资格证书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康复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高等学校专科及以上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所学专业与报考学科岗位一致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具有中小学教师资格证书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音乐专业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全日制普通高等学校专科及以上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所学专业与报考学科岗位一致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具有相应教师资格证书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美术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全日制普通高等学校专科及以上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所学专业与报考学科岗位一致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具有相应教师资格证书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06E0"/>
    <w:rsid w:val="05EE17E8"/>
    <w:rsid w:val="17F05847"/>
    <w:rsid w:val="298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2020-07-06T09:04:00Z</dcterms:created>
  <dc:creator>巾凡</dc:creator>
  <cp:lastModifiedBy>巾凡</cp:lastModifiedBy>
  <dcterms:modified xsi:type="dcterms:W3CDTF">2020-07-06T09:28:44Z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